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4F" w:rsidRDefault="00926D4F" w:rsidP="00926D4F">
      <w:pPr>
        <w:spacing w:after="0" w:line="240" w:lineRule="auto"/>
        <w:contextualSpacing/>
        <w:rPr>
          <w:rFonts w:asciiTheme="majorHAnsi" w:eastAsiaTheme="majorEastAsia" w:hAnsiTheme="majorHAnsi" w:cstheme="majorBidi"/>
          <w:spacing w:val="-10"/>
          <w:kern w:val="28"/>
          <w:sz w:val="56"/>
          <w:szCs w:val="56"/>
        </w:rPr>
      </w:pPr>
      <w:r>
        <w:rPr>
          <w:noProof/>
          <w:sz w:val="32"/>
          <w:szCs w:val="32"/>
          <w:lang w:eastAsia="nl-NL"/>
        </w:rPr>
        <w:drawing>
          <wp:anchor distT="0" distB="0" distL="114300" distR="114300" simplePos="0" relativeHeight="251660288" behindDoc="0" locked="0" layoutInCell="1" allowOverlap="1" wp14:anchorId="14CC50CE" wp14:editId="7D44BBEF">
            <wp:simplePos x="0" y="0"/>
            <wp:positionH relativeFrom="column">
              <wp:posOffset>3986530</wp:posOffset>
            </wp:positionH>
            <wp:positionV relativeFrom="paragraph">
              <wp:posOffset>-462915</wp:posOffset>
            </wp:positionV>
            <wp:extent cx="2143125" cy="107505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terking_medezeggenschap jpg.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075055"/>
                    </a:xfrm>
                    <a:prstGeom prst="rect">
                      <a:avLst/>
                    </a:prstGeom>
                  </pic:spPr>
                </pic:pic>
              </a:graphicData>
            </a:graphic>
            <wp14:sizeRelH relativeFrom="page">
              <wp14:pctWidth>0</wp14:pctWidth>
            </wp14:sizeRelH>
            <wp14:sizeRelV relativeFrom="page">
              <wp14:pctHeight>0</wp14:pctHeight>
            </wp14:sizeRelV>
          </wp:anchor>
        </w:drawing>
      </w:r>
    </w:p>
    <w:p w:rsidR="00926D4F" w:rsidRDefault="00926D4F" w:rsidP="00926D4F">
      <w:pPr>
        <w:spacing w:after="0" w:line="240" w:lineRule="auto"/>
        <w:contextualSpacing/>
        <w:rPr>
          <w:rFonts w:asciiTheme="majorHAnsi" w:eastAsiaTheme="majorEastAsia" w:hAnsiTheme="majorHAnsi" w:cstheme="majorBidi"/>
          <w:spacing w:val="-10"/>
          <w:kern w:val="28"/>
          <w:sz w:val="56"/>
          <w:szCs w:val="56"/>
        </w:rPr>
      </w:pPr>
    </w:p>
    <w:p w:rsidR="00926D4F" w:rsidRPr="00926D4F" w:rsidRDefault="00926D4F" w:rsidP="00926D4F">
      <w:pPr>
        <w:spacing w:after="0" w:line="240" w:lineRule="auto"/>
        <w:contextualSpacing/>
        <w:rPr>
          <w:rFonts w:asciiTheme="majorHAnsi" w:eastAsiaTheme="majorEastAsia" w:hAnsiTheme="majorHAnsi" w:cstheme="majorBidi"/>
          <w:spacing w:val="-10"/>
          <w:kern w:val="28"/>
          <w:sz w:val="56"/>
          <w:szCs w:val="56"/>
        </w:rPr>
      </w:pPr>
      <w:r w:rsidRPr="00926D4F">
        <w:rPr>
          <w:rFonts w:asciiTheme="majorHAnsi" w:eastAsiaTheme="majorEastAsia" w:hAnsiTheme="majorHAnsi" w:cstheme="majorBidi"/>
          <w:spacing w:val="-10"/>
          <w:kern w:val="28"/>
          <w:sz w:val="56"/>
          <w:szCs w:val="56"/>
        </w:rPr>
        <w:t>MR</w:t>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bookmarkStart w:id="0" w:name="_GoBack"/>
      <w:bookmarkEnd w:id="0"/>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p>
    <w:p w:rsidR="00926D4F" w:rsidRPr="00926D4F" w:rsidRDefault="00926D4F" w:rsidP="00926D4F">
      <w:pPr>
        <w:tabs>
          <w:tab w:val="center" w:pos="4536"/>
          <w:tab w:val="right" w:pos="9072"/>
        </w:tabs>
        <w:spacing w:after="0" w:line="240" w:lineRule="auto"/>
        <w:rPr>
          <w:i/>
        </w:rPr>
      </w:pPr>
      <w:r w:rsidRPr="00926D4F">
        <w:t>Medezeggenschapsraad [naam school]</w:t>
      </w:r>
      <w:r w:rsidRPr="00926D4F">
        <w:tab/>
      </w:r>
      <w:r w:rsidRPr="00926D4F">
        <w:tab/>
      </w:r>
      <w:r w:rsidRPr="00926D4F">
        <w:rPr>
          <w:i/>
        </w:rPr>
        <w:t xml:space="preserve">Medezeggenschap is een </w:t>
      </w:r>
    </w:p>
    <w:p w:rsidR="00926D4F" w:rsidRPr="00926D4F" w:rsidRDefault="00926D4F" w:rsidP="00926D4F">
      <w:pPr>
        <w:tabs>
          <w:tab w:val="center" w:pos="4536"/>
          <w:tab w:val="right" w:pos="9072"/>
        </w:tabs>
        <w:spacing w:after="0" w:line="240" w:lineRule="auto"/>
        <w:rPr>
          <w:i/>
        </w:rPr>
      </w:pPr>
      <w:r w:rsidRPr="00926D4F">
        <w:t>Adres</w:t>
      </w:r>
      <w:r w:rsidRPr="00926D4F">
        <w:rPr>
          <w:i/>
        </w:rPr>
        <w:tab/>
      </w:r>
      <w:r w:rsidRPr="00926D4F">
        <w:rPr>
          <w:i/>
        </w:rPr>
        <w:tab/>
        <w:t xml:space="preserve">investering in de kwaliteit </w:t>
      </w:r>
    </w:p>
    <w:p w:rsidR="00926D4F" w:rsidRPr="00926D4F" w:rsidRDefault="00926D4F" w:rsidP="00926D4F">
      <w:pPr>
        <w:tabs>
          <w:tab w:val="center" w:pos="4536"/>
          <w:tab w:val="right" w:pos="9072"/>
        </w:tabs>
        <w:spacing w:after="0" w:line="240" w:lineRule="auto"/>
        <w:rPr>
          <w:i/>
        </w:rPr>
      </w:pPr>
      <w:r w:rsidRPr="00926D4F">
        <w:t>Postcode + plaats</w:t>
      </w:r>
      <w:r w:rsidRPr="00926D4F">
        <w:rPr>
          <w:i/>
        </w:rPr>
        <w:tab/>
      </w:r>
      <w:r w:rsidRPr="00926D4F">
        <w:rPr>
          <w:i/>
        </w:rPr>
        <w:tab/>
        <w:t>kwaliteit van het onderwijs</w:t>
      </w:r>
    </w:p>
    <w:p w:rsidR="00926D4F" w:rsidRDefault="00926D4F" w:rsidP="00926D4F">
      <w:pPr>
        <w:rPr>
          <w:sz w:val="32"/>
          <w:szCs w:val="32"/>
        </w:rPr>
      </w:pPr>
      <w:r w:rsidRPr="00926D4F">
        <w:t>Emailadres MR</w:t>
      </w:r>
    </w:p>
    <w:p w:rsidR="00926D4F" w:rsidRDefault="00926D4F">
      <w:pPr>
        <w:rPr>
          <w:sz w:val="32"/>
          <w:szCs w:val="32"/>
        </w:rPr>
      </w:pPr>
    </w:p>
    <w:p w:rsidR="00247403" w:rsidRPr="000C1FC1" w:rsidRDefault="00E37EA9">
      <w:pPr>
        <w:rPr>
          <w:sz w:val="32"/>
          <w:szCs w:val="32"/>
        </w:rPr>
      </w:pPr>
      <w:r w:rsidRPr="000C1FC1">
        <w:rPr>
          <w:sz w:val="32"/>
          <w:szCs w:val="32"/>
        </w:rPr>
        <w:t>Format jaarverslag medezeggenschapsraad</w:t>
      </w:r>
      <w:r w:rsidR="000C1FC1" w:rsidRPr="000C1FC1">
        <w:rPr>
          <w:sz w:val="32"/>
          <w:szCs w:val="32"/>
        </w:rPr>
        <w:t xml:space="preserve"> (</w:t>
      </w:r>
      <w:r w:rsidR="00023435">
        <w:rPr>
          <w:sz w:val="32"/>
          <w:szCs w:val="32"/>
        </w:rPr>
        <w:t>beknopte</w:t>
      </w:r>
      <w:r w:rsidR="0070603A" w:rsidRPr="000C1FC1">
        <w:rPr>
          <w:sz w:val="32"/>
          <w:szCs w:val="32"/>
        </w:rPr>
        <w:t xml:space="preserve"> versie)</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 xml:space="preserve">Een MR moet jaarlijks een jaarverslag schrijven, dit is vastgelegd in WMS-artikel 7. In de WMS staat niet wat er precies in het jaarverslag moet staan of hoe het er uit moet zien.  </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Voorwaarden voor een goed jaarverslag</w:t>
      </w:r>
      <w:r w:rsidRPr="000C1FC1">
        <w:rPr>
          <w:rFonts w:eastAsia="Times New Roman" w:cstheme="minorHAnsi"/>
          <w:b/>
          <w:bCs/>
          <w:lang w:eastAsia="nl-NL"/>
        </w:rPr>
        <w:br/>
      </w:r>
      <w:r w:rsidRPr="000C1FC1">
        <w:rPr>
          <w:rFonts w:eastAsia="Times New Roman" w:cstheme="minorHAnsi"/>
          <w:lang w:eastAsia="nl-NL"/>
        </w:rPr>
        <w:t>Om zoveel mogelijk lezers te trekken van het jaarverslag is het van belang dat de inhoud informatief en leesbaar is, maar ook dat het er aantrekkelijk uitziet.</w:t>
      </w:r>
    </w:p>
    <w:p w:rsidR="000C1FC1" w:rsidRPr="000C1FC1" w:rsidRDefault="000C1FC1" w:rsidP="000C1FC1">
      <w:pPr>
        <w:spacing w:before="100" w:beforeAutospacing="1" w:after="100" w:afterAutospacing="1" w:line="240" w:lineRule="auto"/>
        <w:contextualSpacing/>
        <w:rPr>
          <w:rFonts w:eastAsia="Times New Roman" w:cstheme="minorHAnsi"/>
          <w:lang w:eastAsia="nl-NL"/>
        </w:rPr>
      </w:pPr>
      <w:r w:rsidRPr="000C1FC1">
        <w:rPr>
          <w:rFonts w:eastAsia="Times New Roman" w:cstheme="minorHAnsi"/>
          <w:b/>
          <w:bCs/>
          <w:lang w:eastAsia="nl-NL"/>
        </w:rPr>
        <w:t>Inhoud van het jaarverslag</w:t>
      </w:r>
      <w:r w:rsidRPr="000C1FC1">
        <w:rPr>
          <w:rFonts w:eastAsia="Times New Roman" w:cstheme="minorHAnsi"/>
          <w:lang w:eastAsia="nl-NL"/>
        </w:rPr>
        <w:br/>
        <w:t>Belangrijke elementen van een jaarverslag zijn:</w:t>
      </w:r>
    </w:p>
    <w:p w:rsidR="00C45396" w:rsidRDefault="000C1FC1" w:rsidP="000C1FC1">
      <w:pPr>
        <w:spacing w:before="100" w:beforeAutospacing="1" w:after="100" w:afterAutospacing="1" w:line="240" w:lineRule="auto"/>
        <w:contextualSpacing/>
        <w:rPr>
          <w:rFonts w:eastAsia="Times New Roman" w:cstheme="minorHAnsi"/>
          <w:lang w:eastAsia="nl-NL"/>
        </w:rPr>
      </w:pPr>
      <w:r w:rsidRPr="000C1FC1">
        <w:rPr>
          <w:rFonts w:eastAsia="Times New Roman" w:cstheme="minorHAnsi"/>
          <w:lang w:eastAsia="nl-NL"/>
        </w:rPr>
        <w:br/>
      </w:r>
      <w:r w:rsidR="00C45396">
        <w:rPr>
          <w:rFonts w:eastAsia="Times New Roman" w:cstheme="minorHAnsi"/>
          <w:lang w:eastAsia="nl-NL"/>
        </w:rPr>
        <w:t xml:space="preserve">Doel van het jaarverslag </w:t>
      </w:r>
    </w:p>
    <w:p w:rsidR="000C1FC1" w:rsidRPr="000C1FC1" w:rsidRDefault="000C1FC1" w:rsidP="000C1FC1">
      <w:pPr>
        <w:spacing w:before="100" w:beforeAutospacing="1" w:after="100" w:afterAutospacing="1" w:line="240" w:lineRule="auto"/>
        <w:contextualSpacing/>
        <w:rPr>
          <w:rFonts w:eastAsia="Times New Roman" w:cstheme="minorHAnsi"/>
          <w:lang w:eastAsia="nl-NL"/>
        </w:rPr>
      </w:pPr>
      <w:r w:rsidRPr="000C1FC1">
        <w:rPr>
          <w:rFonts w:eastAsia="Times New Roman" w:cstheme="minorHAnsi"/>
          <w:lang w:eastAsia="nl-NL"/>
        </w:rPr>
        <w:t>Missie en visie van de MR</w:t>
      </w:r>
    </w:p>
    <w:p w:rsidR="000C1FC1" w:rsidRPr="000C1FC1" w:rsidRDefault="000C1FC1" w:rsidP="000C1FC1">
      <w:pPr>
        <w:spacing w:before="100" w:beforeAutospacing="1" w:after="100" w:afterAutospacing="1" w:line="240" w:lineRule="auto"/>
        <w:contextualSpacing/>
        <w:rPr>
          <w:rFonts w:eastAsia="Times New Roman" w:cstheme="minorHAnsi"/>
          <w:lang w:eastAsia="nl-NL"/>
        </w:rPr>
      </w:pPr>
      <w:r w:rsidRPr="000C1FC1">
        <w:rPr>
          <w:rFonts w:eastAsia="Times New Roman" w:cstheme="minorHAnsi"/>
          <w:lang w:eastAsia="nl-NL"/>
        </w:rPr>
        <w:t>Samenstelling van de MR, inclusief verdeling van functies</w:t>
      </w:r>
      <w:r w:rsidR="00C45396">
        <w:rPr>
          <w:rFonts w:eastAsia="Times New Roman" w:cstheme="minorHAnsi"/>
          <w:lang w:eastAsia="nl-NL"/>
        </w:rPr>
        <w:t xml:space="preserve"> en zittingstermijn</w:t>
      </w:r>
      <w:r w:rsidR="009636B3">
        <w:rPr>
          <w:rFonts w:eastAsia="Times New Roman" w:cstheme="minorHAnsi"/>
          <w:lang w:eastAsia="nl-NL"/>
        </w:rPr>
        <w:t xml:space="preserve"> (rooster van aftreden)</w:t>
      </w:r>
      <w:r w:rsidRPr="000C1FC1">
        <w:rPr>
          <w:rFonts w:eastAsia="Times New Roman" w:cstheme="minorHAnsi"/>
          <w:lang w:eastAsia="nl-NL"/>
        </w:rPr>
        <w:br/>
        <w:t>Behandelde onderwerpen</w:t>
      </w:r>
      <w:r w:rsidRPr="000C1FC1">
        <w:rPr>
          <w:rFonts w:eastAsia="Times New Roman" w:cstheme="minorHAnsi"/>
          <w:lang w:eastAsia="nl-NL"/>
        </w:rPr>
        <w:br/>
        <w:t>Overleg met het bestuur en de achterban</w:t>
      </w:r>
      <w:r w:rsidRPr="000C1FC1">
        <w:rPr>
          <w:rFonts w:eastAsia="Times New Roman" w:cstheme="minorHAnsi"/>
          <w:lang w:eastAsia="nl-NL"/>
        </w:rPr>
        <w:br/>
        <w:t>Gevolgde scholing</w:t>
      </w:r>
    </w:p>
    <w:p w:rsidR="000C1FC1" w:rsidRPr="000C1FC1" w:rsidRDefault="000C1FC1" w:rsidP="000C1FC1">
      <w:pPr>
        <w:spacing w:before="100" w:beforeAutospacing="1" w:after="100" w:afterAutospacing="1" w:line="240" w:lineRule="auto"/>
        <w:contextualSpacing/>
        <w:rPr>
          <w:rFonts w:eastAsia="Times New Roman" w:cstheme="minorHAnsi"/>
          <w:lang w:eastAsia="nl-NL"/>
        </w:rPr>
      </w:pPr>
      <w:r w:rsidRPr="000C1FC1">
        <w:rPr>
          <w:rFonts w:eastAsia="Times New Roman" w:cstheme="minorHAnsi"/>
          <w:lang w:eastAsia="nl-NL"/>
        </w:rPr>
        <w:t>Verkiezingen</w:t>
      </w:r>
      <w:r w:rsidRPr="000C1FC1">
        <w:rPr>
          <w:rFonts w:eastAsia="Times New Roman" w:cstheme="minorHAnsi"/>
          <w:lang w:eastAsia="nl-NL"/>
        </w:rPr>
        <w:br/>
        <w:t>Ondersteuning door derden</w:t>
      </w:r>
    </w:p>
    <w:p w:rsidR="000C1FC1" w:rsidRPr="000C1FC1" w:rsidRDefault="000C1FC1" w:rsidP="000C1FC1">
      <w:pPr>
        <w:spacing w:before="100" w:beforeAutospacing="1" w:after="100" w:afterAutospacing="1" w:line="240" w:lineRule="auto"/>
        <w:contextualSpacing/>
        <w:rPr>
          <w:rFonts w:eastAsia="Times New Roman" w:cstheme="minorHAnsi"/>
          <w:lang w:eastAsia="nl-NL"/>
        </w:rPr>
      </w:pP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Thema's van de MR</w:t>
      </w:r>
      <w:r w:rsidRPr="000C1FC1">
        <w:rPr>
          <w:rFonts w:eastAsia="Times New Roman" w:cstheme="minorHAnsi"/>
          <w:lang w:eastAsia="nl-NL"/>
        </w:rPr>
        <w:br/>
        <w:t xml:space="preserve">In het jaarverslag staan de onderwerpen waar de MR zich mee bezig heeft gehouden. Ook wordt vermeld of de MR een advies-of instemmingsbevoegdheid had, wat er is besloten en wat de eventuele gevolgen voor de achterban zijn. </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Overleg van de MR</w:t>
      </w:r>
      <w:r w:rsidRPr="000C1FC1">
        <w:rPr>
          <w:rFonts w:eastAsia="Times New Roman" w:cstheme="minorHAnsi"/>
          <w:b/>
          <w:bCs/>
          <w:lang w:eastAsia="nl-NL"/>
        </w:rPr>
        <w:br/>
      </w:r>
      <w:r w:rsidRPr="000C1FC1">
        <w:rPr>
          <w:rFonts w:eastAsia="Times New Roman" w:cstheme="minorHAnsi"/>
          <w:lang w:eastAsia="nl-NL"/>
        </w:rPr>
        <w:t>In het jaarverslag kunnen ook de diverse vormen van overleg worden opgenomen, bijvoorbeeld met het bevoegd gezag of met de achterban van de MR. Aangegeven wordt waar het overleg over ging en waartoe het heeft geleid. De MR stemde bijvoorbeeld in met een onderzoek naar de veiligheid op school. Het resultaat is onder meer dat een speeltoestel is weggehaald en dat de sponsoractie van dat schooljaar voldoende opleverde om een vervanger te kopen.</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De kritische MR</w:t>
      </w:r>
      <w:r w:rsidRPr="000C1FC1">
        <w:rPr>
          <w:rFonts w:eastAsia="Times New Roman" w:cstheme="minorHAnsi"/>
          <w:lang w:eastAsia="nl-NL"/>
        </w:rPr>
        <w:br/>
        <w:t xml:space="preserve">De kritische MR kan ook een stukje over zijn eigen functioneren in het jaarverslag opnemen. Wat waren de plannen en voornemens van de MR en in hoeverre zijn deze uitgekomen? Als niet alles </w:t>
      </w:r>
      <w:r w:rsidRPr="000C1FC1">
        <w:rPr>
          <w:rFonts w:eastAsia="Times New Roman" w:cstheme="minorHAnsi"/>
          <w:lang w:eastAsia="nl-NL"/>
        </w:rPr>
        <w:lastRenderedPageBreak/>
        <w:t xml:space="preserve">gelukt is, waar ligt dat dan aan en in hoeverre kan hier lering uit worden getrokken voor het nieuwe schooljaar?. </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De deskundige MR</w:t>
      </w:r>
      <w:r w:rsidRPr="000C1FC1">
        <w:rPr>
          <w:rFonts w:eastAsia="Times New Roman" w:cstheme="minorHAnsi"/>
          <w:b/>
          <w:bCs/>
          <w:lang w:eastAsia="nl-NL"/>
        </w:rPr>
        <w:br/>
      </w:r>
      <w:r w:rsidRPr="000C1FC1">
        <w:rPr>
          <w:rFonts w:eastAsia="Times New Roman" w:cstheme="minorHAnsi"/>
          <w:lang w:eastAsia="nl-NL"/>
        </w:rPr>
        <w:t>In het jaarverslag wordt ook vermeld welke cursus of training door de MR is gevolgd en welke onderwerpen hierbij zijn behandeld of welke vaardigheden zijn getraind.</w:t>
      </w:r>
    </w:p>
    <w:p w:rsidR="000C1FC1" w:rsidRPr="000C1FC1" w:rsidRDefault="000C1FC1" w:rsidP="000C1FC1">
      <w:pPr>
        <w:spacing w:before="100" w:beforeAutospacing="1" w:after="100" w:afterAutospacing="1" w:line="240" w:lineRule="auto"/>
        <w:rPr>
          <w:rFonts w:eastAsia="Times New Roman" w:cstheme="minorHAnsi"/>
          <w:lang w:eastAsia="nl-NL"/>
        </w:rPr>
      </w:pPr>
      <w:r w:rsidRPr="000C1FC1">
        <w:rPr>
          <w:rFonts w:eastAsia="Times New Roman" w:cstheme="minorHAnsi"/>
          <w:b/>
          <w:bCs/>
          <w:lang w:eastAsia="nl-NL"/>
        </w:rPr>
        <w:t>Tips voor een goed jaarverslag</w:t>
      </w:r>
      <w:r w:rsidRPr="000C1FC1">
        <w:rPr>
          <w:rFonts w:eastAsia="Times New Roman" w:cstheme="minorHAnsi"/>
          <w:lang w:eastAsia="nl-NL"/>
        </w:rPr>
        <w:br/>
        <w:t>- Zorg voor iemand met een vlotte pen die ook aandacht besteedt aan taalgebruik en een logische opbouw van het jaarverslag</w:t>
      </w:r>
      <w:r w:rsidRPr="000C1FC1">
        <w:rPr>
          <w:rFonts w:eastAsia="Times New Roman" w:cstheme="minorHAnsi"/>
          <w:lang w:eastAsia="nl-NL"/>
        </w:rPr>
        <w:br/>
        <w:t>- Let ook op de opmaak en vormgeving, de leesbaarheid wordt beslist verhoogd als iemand met ervaring op dit gebied wordt ingeschakeld</w:t>
      </w:r>
      <w:r w:rsidRPr="000C1FC1">
        <w:rPr>
          <w:rFonts w:eastAsia="Times New Roman" w:cstheme="minorHAnsi"/>
          <w:lang w:eastAsia="nl-NL"/>
        </w:rPr>
        <w:br/>
        <w:t>- Vermijd het gebruik van jargon en afkortingen</w:t>
      </w:r>
      <w:r w:rsidRPr="000C1FC1">
        <w:rPr>
          <w:rFonts w:eastAsia="Times New Roman" w:cstheme="minorHAnsi"/>
          <w:lang w:eastAsia="nl-NL"/>
        </w:rPr>
        <w:br/>
        <w:t xml:space="preserve">- </w:t>
      </w:r>
      <w:bookmarkStart w:id="1" w:name="_Hlk517774856"/>
      <w:r w:rsidRPr="000C1FC1">
        <w:rPr>
          <w:rFonts w:eastAsia="Times New Roman" w:cstheme="minorHAnsi"/>
          <w:lang w:eastAsia="nl-NL"/>
        </w:rPr>
        <w:t xml:space="preserve">Zorg dat het jaarverslag </w:t>
      </w:r>
      <w:r w:rsidR="00C45396">
        <w:rPr>
          <w:rFonts w:eastAsia="Times New Roman" w:cstheme="minorHAnsi"/>
          <w:lang w:eastAsia="nl-NL"/>
        </w:rPr>
        <w:t xml:space="preserve">beschikbaar is voor de achterban, bijvoorbeeld via </w:t>
      </w:r>
      <w:r w:rsidRPr="000C1FC1">
        <w:rPr>
          <w:rFonts w:eastAsia="Times New Roman" w:cstheme="minorHAnsi"/>
          <w:lang w:eastAsia="nl-NL"/>
        </w:rPr>
        <w:t xml:space="preserve">de website van de school </w:t>
      </w:r>
      <w:bookmarkEnd w:id="1"/>
      <w:r w:rsidRPr="000C1FC1">
        <w:rPr>
          <w:rFonts w:eastAsia="Times New Roman" w:cstheme="minorHAnsi"/>
          <w:lang w:eastAsia="nl-NL"/>
        </w:rPr>
        <w:br/>
        <w:t> </w:t>
      </w:r>
    </w:p>
    <w:p w:rsidR="000C1FC1" w:rsidRPr="000C1FC1" w:rsidRDefault="00162CB0" w:rsidP="000C1FC1">
      <w:pPr>
        <w:spacing w:after="0" w:line="240" w:lineRule="auto"/>
        <w:rPr>
          <w:rFonts w:eastAsia="Times New Roman" w:cstheme="minorHAnsi"/>
          <w:lang w:eastAsia="nl-NL"/>
        </w:rPr>
      </w:pPr>
      <w:r>
        <w:rPr>
          <w:rFonts w:eastAsia="Times New Roman" w:cstheme="minorHAnsi"/>
          <w:lang w:eastAsia="nl-NL"/>
        </w:rPr>
        <w:pict>
          <v:rect id="_x0000_i1025" style="width:0;height:1.5pt" o:hralign="center" o:hrstd="t" o:hr="t" fillcolor="#a0a0a0" stroked="f"/>
        </w:pict>
      </w:r>
    </w:p>
    <w:p w:rsidR="000C1FC1" w:rsidRPr="0083533D" w:rsidRDefault="000C1FC1" w:rsidP="000C1FC1">
      <w:pPr>
        <w:spacing w:before="100" w:beforeAutospacing="1" w:after="100" w:afterAutospacing="1" w:line="240" w:lineRule="auto"/>
        <w:rPr>
          <w:rFonts w:eastAsia="Times New Roman" w:cstheme="minorHAnsi"/>
          <w:sz w:val="18"/>
          <w:szCs w:val="18"/>
          <w:lang w:eastAsia="nl-NL"/>
        </w:rPr>
      </w:pPr>
      <w:r w:rsidRPr="0083533D">
        <w:rPr>
          <w:rFonts w:eastAsia="Times New Roman" w:cstheme="minorHAnsi"/>
          <w:i/>
          <w:iCs/>
          <w:sz w:val="18"/>
          <w:szCs w:val="18"/>
          <w:lang w:eastAsia="nl-NL"/>
        </w:rPr>
        <w:t>In verband met de leesbaarheid wordt in dit artikel steeds over de medezeggenschapsraad gesproken; de inhoud van de tekst is evenzeer van toepassing op de gemeenschappelijke medezeggenschapsraad en de ondersteuningsplanraad</w:t>
      </w:r>
    </w:p>
    <w:p w:rsidR="000C1FC1" w:rsidRDefault="000C1FC1" w:rsidP="000C1FC1"/>
    <w:p w:rsidR="00A37158" w:rsidRPr="00926D4F" w:rsidRDefault="00A37158">
      <w:pPr>
        <w:rPr>
          <w:sz w:val="28"/>
          <w:szCs w:val="28"/>
        </w:rPr>
      </w:pPr>
      <w:r>
        <w:rPr>
          <w:sz w:val="28"/>
          <w:szCs w:val="28"/>
        </w:rPr>
        <w:br w:type="page"/>
      </w:r>
    </w:p>
    <w:p w:rsidR="00F51CF3" w:rsidRPr="00A37158" w:rsidRDefault="00F51CF3">
      <w:pPr>
        <w:rPr>
          <w:sz w:val="28"/>
          <w:szCs w:val="28"/>
        </w:rPr>
      </w:pPr>
      <w:r>
        <w:rPr>
          <w:b/>
        </w:rPr>
        <w:lastRenderedPageBreak/>
        <w:t>Voorwoord</w:t>
      </w:r>
    </w:p>
    <w:p w:rsidR="00812EF4" w:rsidRDefault="00F51CF3">
      <w:pPr>
        <w:rPr>
          <w:i/>
        </w:rPr>
      </w:pPr>
      <w:r w:rsidRPr="00812EF4">
        <w:rPr>
          <w:i/>
        </w:rPr>
        <w:t>Voor u ligt het jaarverslag van de medezeggenschapsraad van [naam van de school]. In dit verslag beschrijven we in hoofdlijnen waar we ons het afgelopen jaar mee bezig hebben gehouden. Medezeggenschap is er voor en namens de leerlingen, de ouders en het personeel op school. Wilt u reageren of iets aan ons meedelen, dan kan dit via ons mailad</w:t>
      </w:r>
      <w:r w:rsidR="007B28A8">
        <w:rPr>
          <w:i/>
        </w:rPr>
        <w:t>res: MR@[naam van de school].nl</w:t>
      </w:r>
    </w:p>
    <w:p w:rsidR="00F51CF3" w:rsidRPr="00812EF4" w:rsidRDefault="00812EF4">
      <w:pPr>
        <w:rPr>
          <w:i/>
        </w:rPr>
      </w:pPr>
      <w:r>
        <w:rPr>
          <w:i/>
        </w:rPr>
        <w:t>M</w:t>
      </w:r>
      <w:r w:rsidR="00F51CF3" w:rsidRPr="00812EF4">
        <w:rPr>
          <w:i/>
        </w:rPr>
        <w:t>et vriendelijke groet,</w:t>
      </w:r>
    </w:p>
    <w:p w:rsidR="00F51CF3" w:rsidRPr="00812EF4" w:rsidRDefault="00F51CF3">
      <w:pPr>
        <w:rPr>
          <w:i/>
        </w:rPr>
      </w:pPr>
      <w:r w:rsidRPr="00812EF4">
        <w:rPr>
          <w:i/>
        </w:rPr>
        <w:t>[naam], voorzitter</w:t>
      </w:r>
    </w:p>
    <w:p w:rsidR="00F51CF3" w:rsidRDefault="00F51CF3">
      <w:pPr>
        <w:rPr>
          <w:b/>
        </w:rPr>
      </w:pPr>
    </w:p>
    <w:p w:rsidR="00E37EA9" w:rsidRPr="005223E0" w:rsidRDefault="00E37EA9">
      <w:pPr>
        <w:rPr>
          <w:b/>
        </w:rPr>
      </w:pPr>
      <w:r w:rsidRPr="005223E0">
        <w:rPr>
          <w:b/>
        </w:rPr>
        <w:t>Algemeen</w:t>
      </w:r>
    </w:p>
    <w:p w:rsidR="00E37EA9" w:rsidRPr="005223E0" w:rsidRDefault="00E37EA9">
      <w:pPr>
        <w:rPr>
          <w:i/>
        </w:rPr>
      </w:pPr>
      <w:r w:rsidRPr="005223E0">
        <w:rPr>
          <w:i/>
        </w:rPr>
        <w:t xml:space="preserve">De MR van […..] levert vanuit een kritisch-constructieve instelling een bijdrage aan de kwaliteit van het onderwijs. De MR doet dat door belangenbehartiging van ouders, leerlingen en personeel bij schoolzaken. Uitgangspunt daarbij is het algemene belang van de school. De MR functioneert als kritische gesprekspartner en controlerend orgaan van de directeur. De MR streeft ernaar een </w:t>
      </w:r>
      <w:proofErr w:type="spellStart"/>
      <w:r w:rsidRPr="005223E0">
        <w:rPr>
          <w:i/>
        </w:rPr>
        <w:t>pro-actieve</w:t>
      </w:r>
      <w:proofErr w:type="spellEnd"/>
      <w:r w:rsidRPr="005223E0">
        <w:rPr>
          <w:i/>
        </w:rPr>
        <w:t xml:space="preserve"> gespreks- en onderhandelingspartner te zijn. Als vertegenwoordiger van de achterban – zonder last of </w:t>
      </w:r>
      <w:proofErr w:type="spellStart"/>
      <w:r w:rsidRPr="005223E0">
        <w:rPr>
          <w:i/>
        </w:rPr>
        <w:t>ruggespraak</w:t>
      </w:r>
      <w:proofErr w:type="spellEnd"/>
      <w:r w:rsidRPr="005223E0">
        <w:rPr>
          <w:i/>
        </w:rPr>
        <w:t xml:space="preserve"> </w:t>
      </w:r>
      <w:r w:rsidR="005223E0" w:rsidRPr="005223E0">
        <w:rPr>
          <w:i/>
        </w:rPr>
        <w:t>–</w:t>
      </w:r>
      <w:r w:rsidRPr="005223E0">
        <w:rPr>
          <w:i/>
        </w:rPr>
        <w:t xml:space="preserve"> </w:t>
      </w:r>
      <w:r w:rsidR="005223E0" w:rsidRPr="005223E0">
        <w:rPr>
          <w:i/>
        </w:rPr>
        <w:t xml:space="preserve">wil de MR voldoende informatie verwerven én verstrekken. </w:t>
      </w:r>
    </w:p>
    <w:p w:rsidR="005223E0" w:rsidRDefault="0070603A">
      <w:pPr>
        <w:rPr>
          <w:b/>
        </w:rPr>
      </w:pPr>
      <w:r>
        <w:rPr>
          <w:i/>
          <w:noProof/>
          <w:lang w:eastAsia="nl-NL"/>
        </w:rPr>
        <mc:AlternateContent>
          <mc:Choice Requires="wps">
            <w:drawing>
              <wp:anchor distT="0" distB="0" distL="114300" distR="114300" simplePos="0" relativeHeight="251659264" behindDoc="0" locked="0" layoutInCell="1" allowOverlap="1">
                <wp:simplePos x="0" y="0"/>
                <wp:positionH relativeFrom="column">
                  <wp:posOffset>3227362</wp:posOffset>
                </wp:positionH>
                <wp:positionV relativeFrom="paragraph">
                  <wp:posOffset>78929</wp:posOffset>
                </wp:positionV>
                <wp:extent cx="2354992" cy="1843508"/>
                <wp:effectExtent l="0" t="0" r="26670" b="23495"/>
                <wp:wrapNone/>
                <wp:docPr id="1" name="Rechthoek 1"/>
                <wp:cNvGraphicFramePr/>
                <a:graphic xmlns:a="http://schemas.openxmlformats.org/drawingml/2006/main">
                  <a:graphicData uri="http://schemas.microsoft.com/office/word/2010/wordprocessingShape">
                    <wps:wsp>
                      <wps:cNvSpPr/>
                      <wps:spPr>
                        <a:xfrm>
                          <a:off x="0" y="0"/>
                          <a:ext cx="2354992" cy="1843508"/>
                        </a:xfrm>
                        <a:prstGeom prst="rect">
                          <a:avLst/>
                        </a:prstGeom>
                      </wps:spPr>
                      <wps:style>
                        <a:lnRef idx="2">
                          <a:schemeClr val="accent6"/>
                        </a:lnRef>
                        <a:fillRef idx="1">
                          <a:schemeClr val="lt1"/>
                        </a:fillRef>
                        <a:effectRef idx="0">
                          <a:schemeClr val="accent6"/>
                        </a:effectRef>
                        <a:fontRef idx="minor">
                          <a:schemeClr val="dk1"/>
                        </a:fontRef>
                      </wps:style>
                      <wps:txbx>
                        <w:txbxContent>
                          <w:p w:rsidR="005223E0" w:rsidRDefault="005223E0" w:rsidP="005223E0">
                            <w:pPr>
                              <w:jc w:val="center"/>
                            </w:pPr>
                            <w:r>
                              <w:t>Foto van de MR-leden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254.1pt;margin-top:6.2pt;width:185.45pt;height:1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" fillcolor="white [3201]" strokecolor="#70ad47 [3209]" strokeweight="1pt">
                <v:textbox>
                  <w:txbxContent>
                    <w:p w:rsidR="005223E0" w:rsidRDefault="005223E0" w:rsidP="005223E0">
                      <w:pPr>
                        <w:jc w:val="center"/>
                      </w:pPr>
                      <w:r>
                        <w:t>Foto van de MR-leden</w:t>
                      </w:r>
                    </w:p>
                  </w:txbxContent>
                </v:textbox>
              </v:rect>
            </w:pict>
          </mc:Fallback>
        </mc:AlternateContent>
      </w:r>
      <w:r w:rsidR="005223E0" w:rsidRPr="005223E0">
        <w:rPr>
          <w:b/>
        </w:rPr>
        <w:t>Samenstelling van de MR</w:t>
      </w:r>
    </w:p>
    <w:p w:rsidR="005223E0" w:rsidRPr="005223E0" w:rsidRDefault="005223E0">
      <w:pPr>
        <w:rPr>
          <w:i/>
        </w:rPr>
      </w:pPr>
      <w:r w:rsidRPr="005223E0">
        <w:rPr>
          <w:i/>
        </w:rPr>
        <w:t>Ineke de Jonge (ouder)</w:t>
      </w:r>
    </w:p>
    <w:p w:rsidR="005223E0" w:rsidRPr="005223E0" w:rsidRDefault="005223E0">
      <w:pPr>
        <w:rPr>
          <w:i/>
        </w:rPr>
      </w:pPr>
      <w:proofErr w:type="spellStart"/>
      <w:r w:rsidRPr="005223E0">
        <w:rPr>
          <w:i/>
        </w:rPr>
        <w:t>Najat</w:t>
      </w:r>
      <w:proofErr w:type="spellEnd"/>
      <w:r w:rsidRPr="005223E0">
        <w:rPr>
          <w:i/>
        </w:rPr>
        <w:t xml:space="preserve"> </w:t>
      </w:r>
      <w:proofErr w:type="spellStart"/>
      <w:r w:rsidRPr="005223E0">
        <w:rPr>
          <w:i/>
        </w:rPr>
        <w:t>Alaoui</w:t>
      </w:r>
      <w:proofErr w:type="spellEnd"/>
      <w:r w:rsidRPr="005223E0">
        <w:rPr>
          <w:i/>
        </w:rPr>
        <w:t xml:space="preserve"> (ouder)</w:t>
      </w:r>
    </w:p>
    <w:p w:rsidR="005223E0" w:rsidRPr="005223E0" w:rsidRDefault="005223E0">
      <w:pPr>
        <w:rPr>
          <w:i/>
        </w:rPr>
      </w:pPr>
      <w:r w:rsidRPr="005223E0">
        <w:rPr>
          <w:i/>
        </w:rPr>
        <w:t xml:space="preserve">Pieter </w:t>
      </w:r>
      <w:proofErr w:type="spellStart"/>
      <w:r w:rsidRPr="005223E0">
        <w:rPr>
          <w:i/>
        </w:rPr>
        <w:t>Vlaar</w:t>
      </w:r>
      <w:proofErr w:type="spellEnd"/>
      <w:r w:rsidRPr="005223E0">
        <w:rPr>
          <w:i/>
        </w:rPr>
        <w:t xml:space="preserve"> (ouder)</w:t>
      </w:r>
    </w:p>
    <w:p w:rsidR="005223E0" w:rsidRPr="005223E0" w:rsidRDefault="005223E0">
      <w:pPr>
        <w:rPr>
          <w:i/>
        </w:rPr>
      </w:pPr>
      <w:r w:rsidRPr="005223E0">
        <w:rPr>
          <w:i/>
        </w:rPr>
        <w:t>Suzan Verweij (personeel)</w:t>
      </w:r>
    </w:p>
    <w:p w:rsidR="005223E0" w:rsidRPr="005223E0" w:rsidRDefault="005223E0">
      <w:pPr>
        <w:rPr>
          <w:i/>
        </w:rPr>
      </w:pPr>
      <w:r w:rsidRPr="005223E0">
        <w:rPr>
          <w:i/>
        </w:rPr>
        <w:t>Maarten Klaver (personeel)</w:t>
      </w:r>
    </w:p>
    <w:p w:rsidR="005223E0" w:rsidRDefault="005223E0">
      <w:pPr>
        <w:rPr>
          <w:i/>
        </w:rPr>
      </w:pPr>
      <w:r w:rsidRPr="005223E0">
        <w:rPr>
          <w:i/>
        </w:rPr>
        <w:t>Ellen de Graaff (personeel)</w:t>
      </w:r>
    </w:p>
    <w:p w:rsidR="005223E0" w:rsidRDefault="005223E0">
      <w:pPr>
        <w:rPr>
          <w:b/>
        </w:rPr>
      </w:pPr>
      <w:r w:rsidRPr="005223E0">
        <w:rPr>
          <w:b/>
        </w:rPr>
        <w:t>Verkiezingen</w:t>
      </w:r>
    </w:p>
    <w:p w:rsidR="005223E0" w:rsidRDefault="005223E0">
      <w:pPr>
        <w:rPr>
          <w:i/>
        </w:rPr>
      </w:pPr>
      <w:r w:rsidRPr="00F16369">
        <w:rPr>
          <w:i/>
        </w:rPr>
        <w:t xml:space="preserve">Afgelopen schooljaar zijn er verkiezingen voor zowel de ouders als het personeel in de MR georganiseerd. Bij de ouders waren er 4 kandidaten, bij het personeel 2. </w:t>
      </w:r>
      <w:r w:rsidR="00F16369" w:rsidRPr="00F16369">
        <w:rPr>
          <w:i/>
        </w:rPr>
        <w:t xml:space="preserve">Pieter </w:t>
      </w:r>
      <w:proofErr w:type="spellStart"/>
      <w:r w:rsidR="00F16369" w:rsidRPr="00F16369">
        <w:rPr>
          <w:i/>
        </w:rPr>
        <w:t>Vlaar</w:t>
      </w:r>
      <w:proofErr w:type="spellEnd"/>
      <w:r w:rsidR="00F16369" w:rsidRPr="00F16369">
        <w:rPr>
          <w:i/>
        </w:rPr>
        <w:t xml:space="preserve"> en Ellen de Graaff kregen de meeste stemmen.</w:t>
      </w:r>
    </w:p>
    <w:p w:rsidR="00F16369" w:rsidRPr="00F16369" w:rsidRDefault="00F16369">
      <w:pPr>
        <w:rPr>
          <w:b/>
        </w:rPr>
      </w:pPr>
      <w:r w:rsidRPr="00F16369">
        <w:rPr>
          <w:b/>
        </w:rPr>
        <w:t>Vergaderingen</w:t>
      </w:r>
    </w:p>
    <w:p w:rsidR="00812EF4" w:rsidRDefault="00F16369">
      <w:pPr>
        <w:rPr>
          <w:i/>
        </w:rPr>
      </w:pPr>
      <w:r w:rsidRPr="003F3C6C">
        <w:rPr>
          <w:i/>
        </w:rPr>
        <w:t>De MR heeft het afgelopen jaar 8 keer met de directeur vergader</w:t>
      </w:r>
      <w:r w:rsidR="00812EF4">
        <w:rPr>
          <w:i/>
        </w:rPr>
        <w:t>d over diverse onderwerpen. De MR heeft advies- en instemmingsrecht. De volgende onderwerpen zijn in de MR behandeld en goedgekeurd:</w:t>
      </w:r>
    </w:p>
    <w:p w:rsidR="00812EF4" w:rsidRDefault="00812EF4">
      <w:pPr>
        <w:rPr>
          <w:i/>
        </w:rPr>
      </w:pPr>
      <w:r>
        <w:rPr>
          <w:i/>
        </w:rPr>
        <w:t>Jaarplan</w:t>
      </w:r>
    </w:p>
    <w:p w:rsidR="00812EF4" w:rsidRPr="009636B3" w:rsidRDefault="00812EF4">
      <w:r>
        <w:rPr>
          <w:i/>
        </w:rPr>
        <w:t>Schoolgids</w:t>
      </w:r>
      <w:r w:rsidR="009636B3">
        <w:rPr>
          <w:i/>
        </w:rPr>
        <w:tab/>
      </w:r>
      <w:r w:rsidR="009636B3">
        <w:rPr>
          <w:i/>
        </w:rPr>
        <w:tab/>
      </w:r>
      <w:r w:rsidR="009636B3">
        <w:rPr>
          <w:i/>
        </w:rPr>
        <w:tab/>
      </w:r>
      <w:r w:rsidR="009636B3">
        <w:rPr>
          <w:i/>
        </w:rPr>
        <w:tab/>
      </w:r>
      <w:r w:rsidR="009636B3">
        <w:rPr>
          <w:i/>
        </w:rPr>
        <w:tab/>
      </w:r>
      <w:r w:rsidR="009636B3">
        <w:rPr>
          <w:i/>
        </w:rPr>
        <w:tab/>
      </w:r>
      <w:r w:rsidR="009636B3">
        <w:rPr>
          <w:i/>
        </w:rPr>
        <w:tab/>
      </w:r>
    </w:p>
    <w:p w:rsidR="00812EF4" w:rsidRDefault="00812EF4">
      <w:pPr>
        <w:rPr>
          <w:i/>
        </w:rPr>
      </w:pPr>
      <w:r>
        <w:rPr>
          <w:i/>
        </w:rPr>
        <w:t>Begroting</w:t>
      </w:r>
    </w:p>
    <w:p w:rsidR="00812EF4" w:rsidRDefault="00812EF4">
      <w:pPr>
        <w:rPr>
          <w:i/>
        </w:rPr>
      </w:pPr>
      <w:r>
        <w:rPr>
          <w:i/>
        </w:rPr>
        <w:t>Risico inventarisatie en -evaluatie</w:t>
      </w:r>
      <w:r w:rsidR="009636B3">
        <w:rPr>
          <w:i/>
        </w:rPr>
        <w:tab/>
      </w:r>
      <w:r w:rsidR="009636B3">
        <w:rPr>
          <w:i/>
        </w:rPr>
        <w:tab/>
      </w:r>
      <w:r w:rsidR="009636B3">
        <w:rPr>
          <w:i/>
        </w:rPr>
        <w:tab/>
      </w:r>
      <w:r w:rsidR="009636B3">
        <w:rPr>
          <w:i/>
        </w:rPr>
        <w:tab/>
      </w:r>
      <w:r w:rsidR="009636B3">
        <w:rPr>
          <w:i/>
        </w:rPr>
        <w:tab/>
      </w:r>
    </w:p>
    <w:p w:rsidR="00812EF4" w:rsidRDefault="00812EF4">
      <w:pPr>
        <w:rPr>
          <w:i/>
        </w:rPr>
      </w:pPr>
      <w:r>
        <w:rPr>
          <w:i/>
        </w:rPr>
        <w:t>Klokkenluidersregeling</w:t>
      </w:r>
    </w:p>
    <w:p w:rsidR="00812EF4" w:rsidRDefault="00812EF4">
      <w:pPr>
        <w:rPr>
          <w:i/>
        </w:rPr>
      </w:pPr>
      <w:r>
        <w:rPr>
          <w:i/>
        </w:rPr>
        <w:lastRenderedPageBreak/>
        <w:t>Vakantierooster/studiedagen</w:t>
      </w:r>
    </w:p>
    <w:p w:rsidR="00812EF4" w:rsidRDefault="00812EF4">
      <w:pPr>
        <w:rPr>
          <w:i/>
        </w:rPr>
      </w:pPr>
      <w:r>
        <w:rPr>
          <w:i/>
        </w:rPr>
        <w:t>Formatieplan</w:t>
      </w:r>
    </w:p>
    <w:p w:rsidR="007B28A8" w:rsidRDefault="007B28A8">
      <w:pPr>
        <w:rPr>
          <w:i/>
        </w:rPr>
      </w:pPr>
      <w:r>
        <w:rPr>
          <w:i/>
        </w:rPr>
        <w:t>Verandering schooltijden</w:t>
      </w:r>
    </w:p>
    <w:p w:rsidR="0070603A" w:rsidRDefault="0070603A">
      <w:pPr>
        <w:rPr>
          <w:i/>
        </w:rPr>
      </w:pPr>
      <w:r>
        <w:rPr>
          <w:i/>
        </w:rPr>
        <w:t>De gezonde school</w:t>
      </w:r>
    </w:p>
    <w:p w:rsidR="003243DF" w:rsidRDefault="003243DF">
      <w:pPr>
        <w:rPr>
          <w:i/>
        </w:rPr>
      </w:pPr>
    </w:p>
    <w:p w:rsidR="00812EF4" w:rsidRDefault="003243DF">
      <w:pPr>
        <w:rPr>
          <w:i/>
        </w:rPr>
      </w:pPr>
      <w:r>
        <w:rPr>
          <w:i/>
        </w:rPr>
        <w:t xml:space="preserve">De vergaderingen van de MR zijn openbaar en ze worden via de website aangekondigd. Alle ouders en personeelsleden zijn van harte uitgenodigd om een MR-vergadering als toehoorder bij te wonen. </w:t>
      </w:r>
    </w:p>
    <w:p w:rsidR="00812EF4" w:rsidRDefault="00812EF4">
      <w:pPr>
        <w:rPr>
          <w:b/>
        </w:rPr>
      </w:pPr>
    </w:p>
    <w:p w:rsidR="003243DF" w:rsidRDefault="003243DF">
      <w:pPr>
        <w:rPr>
          <w:b/>
        </w:rPr>
      </w:pPr>
      <w:r>
        <w:rPr>
          <w:b/>
        </w:rPr>
        <w:t>Activiteitenplan</w:t>
      </w:r>
    </w:p>
    <w:p w:rsidR="003243DF" w:rsidRPr="003243DF" w:rsidRDefault="003243DF">
      <w:pPr>
        <w:rPr>
          <w:i/>
        </w:rPr>
      </w:pPr>
      <w:r>
        <w:rPr>
          <w:i/>
        </w:rPr>
        <w:t>Om inzicht te geven in de onderwerpen die de MR behandelt en om de taakverdeling, vergaderdata en jaarplanning inzichtelijk te maken voor de achterban en het bevoegd gezag werkt de MR met een activiteitenplan. Dit activiteitenplan staat ter informatie op de website van de school.</w:t>
      </w:r>
    </w:p>
    <w:p w:rsidR="00F16369" w:rsidRPr="00812EF4" w:rsidRDefault="00F16369">
      <w:pPr>
        <w:rPr>
          <w:i/>
        </w:rPr>
      </w:pPr>
      <w:r w:rsidRPr="00F16369">
        <w:rPr>
          <w:b/>
        </w:rPr>
        <w:t>Contact met de achterban</w:t>
      </w:r>
    </w:p>
    <w:p w:rsidR="003F3C6C" w:rsidRDefault="00F16369">
      <w:pPr>
        <w:rPr>
          <w:i/>
        </w:rPr>
      </w:pPr>
      <w:r w:rsidRPr="003F3C6C">
        <w:rPr>
          <w:i/>
        </w:rPr>
        <w:t>De MR hecht veel belan</w:t>
      </w:r>
      <w:r w:rsidR="003243DF">
        <w:rPr>
          <w:i/>
        </w:rPr>
        <w:t>g aan contact met de achterban; wij willen zichtbaar en bereikbaar zijn voor de achterban. H</w:t>
      </w:r>
      <w:r w:rsidRPr="003F3C6C">
        <w:rPr>
          <w:i/>
        </w:rPr>
        <w:t>et afgelopen jaar hebben we in elke n</w:t>
      </w:r>
      <w:r w:rsidR="003243DF">
        <w:rPr>
          <w:i/>
        </w:rPr>
        <w:t>ieuwsbrief een MR-bericht opge</w:t>
      </w:r>
      <w:r w:rsidRPr="003F3C6C">
        <w:rPr>
          <w:i/>
        </w:rPr>
        <w:t>n</w:t>
      </w:r>
      <w:r w:rsidR="003243DF">
        <w:rPr>
          <w:i/>
        </w:rPr>
        <w:t>o</w:t>
      </w:r>
      <w:r w:rsidRPr="003F3C6C">
        <w:rPr>
          <w:i/>
        </w:rPr>
        <w:t>men, informatie op de schoolwebsite</w:t>
      </w:r>
      <w:r w:rsidR="003243DF">
        <w:rPr>
          <w:i/>
        </w:rPr>
        <w:t xml:space="preserve"> geplaatst </w:t>
      </w:r>
      <w:r w:rsidRPr="003F3C6C">
        <w:rPr>
          <w:i/>
        </w:rPr>
        <w:t>en persoonlijke contacten</w:t>
      </w:r>
      <w:r w:rsidR="003243DF">
        <w:rPr>
          <w:i/>
        </w:rPr>
        <w:t xml:space="preserve"> onderhouden</w:t>
      </w:r>
      <w:r w:rsidRPr="003F3C6C">
        <w:rPr>
          <w:i/>
        </w:rPr>
        <w:t xml:space="preserve">. Ook hebben we een goedbezochte achterbanbijeenkomst </w:t>
      </w:r>
      <w:r w:rsidR="003F3C6C" w:rsidRPr="003F3C6C">
        <w:rPr>
          <w:i/>
        </w:rPr>
        <w:t xml:space="preserve">voor de ouders </w:t>
      </w:r>
      <w:r w:rsidRPr="003F3C6C">
        <w:rPr>
          <w:i/>
        </w:rPr>
        <w:t xml:space="preserve">georganiseerd over de verandering van de schooltijden en we hebben een enquête gehouden over de overblijf. </w:t>
      </w:r>
    </w:p>
    <w:p w:rsidR="003F3C6C" w:rsidRPr="003F3C6C" w:rsidRDefault="003F3C6C">
      <w:pPr>
        <w:rPr>
          <w:b/>
        </w:rPr>
      </w:pPr>
      <w:r w:rsidRPr="003F3C6C">
        <w:rPr>
          <w:b/>
        </w:rPr>
        <w:t>Deskundigheidsbevordering</w:t>
      </w:r>
    </w:p>
    <w:p w:rsidR="003F3C6C" w:rsidRDefault="003F3C6C">
      <w:pPr>
        <w:rPr>
          <w:i/>
        </w:rPr>
      </w:pPr>
      <w:r>
        <w:rPr>
          <w:i/>
        </w:rPr>
        <w:t>Aan het begin van het schooljaar heeft de MR, samen met de directeur, onder leidi</w:t>
      </w:r>
      <w:r w:rsidR="007B28A8">
        <w:rPr>
          <w:i/>
        </w:rPr>
        <w:t>ng van een externe deskundige ee</w:t>
      </w:r>
      <w:r>
        <w:rPr>
          <w:i/>
        </w:rPr>
        <w:t xml:space="preserve">n ambitiegesprek gevoerd. </w:t>
      </w:r>
      <w:r w:rsidR="00F51CF3">
        <w:rPr>
          <w:i/>
        </w:rPr>
        <w:t>Tijdens</w:t>
      </w:r>
      <w:r>
        <w:rPr>
          <w:i/>
        </w:rPr>
        <w:t xml:space="preserve"> deze bijeenkomst zijn de wederzijdse verwachtingen uitgesproken en zijn afspraken gemaakt hoe de samenwerking tussen directeur en MR optimaal kan verlopen. </w:t>
      </w:r>
      <w:r w:rsidRPr="003F3C6C">
        <w:rPr>
          <w:i/>
        </w:rPr>
        <w:t xml:space="preserve">De 2 nieuwe MR-leden hebben een startcursus medezeggenschap gevolgd. Twee andere MR-leden volgden een cursus over de financiën van de school. </w:t>
      </w:r>
      <w:r w:rsidR="00F51CF3">
        <w:rPr>
          <w:i/>
        </w:rPr>
        <w:t xml:space="preserve">Eén MR-lid was aanwezig bij een GMR-bijeenkomst over het verbeteren van de samenwerking tussen GMR en MR. </w:t>
      </w:r>
    </w:p>
    <w:p w:rsidR="00F742C6" w:rsidRDefault="00F742C6">
      <w:r>
        <w:br w:type="page"/>
      </w:r>
    </w:p>
    <w:p w:rsidR="00F742C6" w:rsidRDefault="00F742C6" w:rsidP="00F742C6">
      <w:r>
        <w:lastRenderedPageBreak/>
        <w:t>Bijlage: Alfabetisch overzicht behandelde onderwerpen, naar besluit en vergaderdatum</w:t>
      </w:r>
    </w:p>
    <w:p w:rsidR="00F742C6" w:rsidRDefault="00F742C6" w:rsidP="00F742C6"/>
    <w:tbl>
      <w:tblPr>
        <w:tblStyle w:val="Tabelraster"/>
        <w:tblW w:w="0" w:type="auto"/>
        <w:tblLook w:val="04A0" w:firstRow="1" w:lastRow="0" w:firstColumn="1" w:lastColumn="0" w:noHBand="0" w:noVBand="1"/>
      </w:tblPr>
      <w:tblGrid>
        <w:gridCol w:w="1812"/>
        <w:gridCol w:w="1812"/>
        <w:gridCol w:w="1812"/>
        <w:gridCol w:w="1813"/>
        <w:gridCol w:w="1813"/>
      </w:tblGrid>
      <w:tr w:rsidR="00F742C6" w:rsidTr="00416233">
        <w:tc>
          <w:tcPr>
            <w:tcW w:w="1812" w:type="dxa"/>
          </w:tcPr>
          <w:p w:rsidR="00F742C6" w:rsidRDefault="00F742C6" w:rsidP="00416233">
            <w:r>
              <w:t>Onderwerp</w:t>
            </w:r>
          </w:p>
        </w:tc>
        <w:tc>
          <w:tcPr>
            <w:tcW w:w="1812" w:type="dxa"/>
          </w:tcPr>
          <w:p w:rsidR="00F742C6" w:rsidRDefault="00F742C6" w:rsidP="00416233">
            <w:r>
              <w:t>Instemming</w:t>
            </w:r>
          </w:p>
        </w:tc>
        <w:tc>
          <w:tcPr>
            <w:tcW w:w="1812" w:type="dxa"/>
          </w:tcPr>
          <w:p w:rsidR="00F742C6" w:rsidRDefault="00F742C6" w:rsidP="00416233">
            <w:r>
              <w:t>Advies</w:t>
            </w:r>
          </w:p>
        </w:tc>
        <w:tc>
          <w:tcPr>
            <w:tcW w:w="1813" w:type="dxa"/>
          </w:tcPr>
          <w:p w:rsidR="00F742C6" w:rsidRDefault="00F742C6" w:rsidP="00416233">
            <w:r>
              <w:t>Ter informatie</w:t>
            </w:r>
          </w:p>
        </w:tc>
        <w:tc>
          <w:tcPr>
            <w:tcW w:w="1813" w:type="dxa"/>
          </w:tcPr>
          <w:p w:rsidR="00F742C6" w:rsidRDefault="00F742C6" w:rsidP="00416233">
            <w:r>
              <w:t>Vaststellen</w:t>
            </w:r>
          </w:p>
        </w:tc>
      </w:tr>
      <w:tr w:rsidR="00F742C6" w:rsidTr="00416233">
        <w:tc>
          <w:tcPr>
            <w:tcW w:w="1812" w:type="dxa"/>
          </w:tcPr>
          <w:p w:rsidR="00F742C6" w:rsidRDefault="00C222D6" w:rsidP="00416233">
            <w:r>
              <w:t>Formatieplan</w:t>
            </w:r>
          </w:p>
        </w:tc>
        <w:tc>
          <w:tcPr>
            <w:tcW w:w="1812" w:type="dxa"/>
          </w:tcPr>
          <w:p w:rsidR="00F742C6" w:rsidRDefault="00C222D6" w:rsidP="00416233">
            <w:r>
              <w:t>12-05</w:t>
            </w:r>
          </w:p>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C222D6" w:rsidP="00416233">
            <w:r>
              <w:t>Gezonde school</w:t>
            </w:r>
          </w:p>
        </w:tc>
        <w:tc>
          <w:tcPr>
            <w:tcW w:w="1812" w:type="dxa"/>
          </w:tcPr>
          <w:p w:rsidR="00F742C6" w:rsidRDefault="00C222D6" w:rsidP="00416233">
            <w:r>
              <w:t>14-11</w:t>
            </w:r>
          </w:p>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C222D6" w:rsidP="00416233">
            <w:r>
              <w:t>Jaarverslag MR</w:t>
            </w:r>
          </w:p>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C222D6" w:rsidP="00416233">
            <w:r>
              <w:t>10-09</w:t>
            </w:r>
          </w:p>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r w:rsidR="00F742C6" w:rsidTr="00416233">
        <w:tc>
          <w:tcPr>
            <w:tcW w:w="1812" w:type="dxa"/>
          </w:tcPr>
          <w:p w:rsidR="00F742C6" w:rsidRDefault="00F742C6" w:rsidP="00416233"/>
        </w:tc>
        <w:tc>
          <w:tcPr>
            <w:tcW w:w="1812" w:type="dxa"/>
          </w:tcPr>
          <w:p w:rsidR="00F742C6" w:rsidRDefault="00F742C6" w:rsidP="00416233"/>
        </w:tc>
        <w:tc>
          <w:tcPr>
            <w:tcW w:w="1812" w:type="dxa"/>
          </w:tcPr>
          <w:p w:rsidR="00F742C6" w:rsidRDefault="00F742C6" w:rsidP="00416233"/>
        </w:tc>
        <w:tc>
          <w:tcPr>
            <w:tcW w:w="1813" w:type="dxa"/>
          </w:tcPr>
          <w:p w:rsidR="00F742C6" w:rsidRDefault="00F742C6" w:rsidP="00416233"/>
        </w:tc>
        <w:tc>
          <w:tcPr>
            <w:tcW w:w="1813" w:type="dxa"/>
          </w:tcPr>
          <w:p w:rsidR="00F742C6" w:rsidRDefault="00F742C6" w:rsidP="00416233"/>
        </w:tc>
      </w:tr>
    </w:tbl>
    <w:p w:rsidR="00F742C6" w:rsidRPr="00F742C6" w:rsidRDefault="00F742C6"/>
    <w:p w:rsidR="00F16369" w:rsidRDefault="00F16369"/>
    <w:p w:rsidR="00F16369" w:rsidRPr="00F16369" w:rsidRDefault="00F16369"/>
    <w:sectPr w:rsidR="00F16369" w:rsidRPr="00F163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B0" w:rsidRDefault="00162CB0" w:rsidP="009D2D35">
      <w:pPr>
        <w:spacing w:after="0" w:line="240" w:lineRule="auto"/>
      </w:pPr>
      <w:r>
        <w:separator/>
      </w:r>
    </w:p>
  </w:endnote>
  <w:endnote w:type="continuationSeparator" w:id="0">
    <w:p w:rsidR="00162CB0" w:rsidRDefault="00162CB0" w:rsidP="009D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B0" w:rsidRDefault="00162CB0" w:rsidP="009D2D35">
      <w:pPr>
        <w:spacing w:after="0" w:line="240" w:lineRule="auto"/>
      </w:pPr>
      <w:r>
        <w:separator/>
      </w:r>
    </w:p>
  </w:footnote>
  <w:footnote w:type="continuationSeparator" w:id="0">
    <w:p w:rsidR="00162CB0" w:rsidRDefault="00162CB0" w:rsidP="009D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35" w:rsidRPr="009636B3" w:rsidRDefault="00C222D6">
    <w:pPr>
      <w:pStyle w:val="Koptekst"/>
    </w:pPr>
    <w:r>
      <w:tab/>
    </w:r>
  </w:p>
  <w:p w:rsidR="009D2D35" w:rsidRPr="009636B3" w:rsidRDefault="009D2D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A9"/>
    <w:rsid w:val="00023435"/>
    <w:rsid w:val="000C1FC1"/>
    <w:rsid w:val="00162CB0"/>
    <w:rsid w:val="00247403"/>
    <w:rsid w:val="002F347C"/>
    <w:rsid w:val="003243DF"/>
    <w:rsid w:val="003F3C6C"/>
    <w:rsid w:val="003F42D1"/>
    <w:rsid w:val="004C3F38"/>
    <w:rsid w:val="005223E0"/>
    <w:rsid w:val="0070603A"/>
    <w:rsid w:val="007B28A8"/>
    <w:rsid w:val="00812EF4"/>
    <w:rsid w:val="0083533D"/>
    <w:rsid w:val="00926D4F"/>
    <w:rsid w:val="009636B3"/>
    <w:rsid w:val="009D2D35"/>
    <w:rsid w:val="00A37158"/>
    <w:rsid w:val="00A900A1"/>
    <w:rsid w:val="00C222D6"/>
    <w:rsid w:val="00C45396"/>
    <w:rsid w:val="00E37EA9"/>
    <w:rsid w:val="00F16369"/>
    <w:rsid w:val="00F51CF3"/>
    <w:rsid w:val="00F7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D2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D35"/>
  </w:style>
  <w:style w:type="paragraph" w:styleId="Voettekst">
    <w:name w:val="footer"/>
    <w:basedOn w:val="Standaard"/>
    <w:link w:val="VoettekstChar"/>
    <w:uiPriority w:val="99"/>
    <w:unhideWhenUsed/>
    <w:rsid w:val="009D2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D35"/>
  </w:style>
  <w:style w:type="paragraph" w:styleId="Titel">
    <w:name w:val="Title"/>
    <w:basedOn w:val="Standaard"/>
    <w:next w:val="Standaard"/>
    <w:link w:val="TitelChar"/>
    <w:uiPriority w:val="10"/>
    <w:qFormat/>
    <w:rsid w:val="009D2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2D35"/>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926D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D2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D35"/>
  </w:style>
  <w:style w:type="paragraph" w:styleId="Voettekst">
    <w:name w:val="footer"/>
    <w:basedOn w:val="Standaard"/>
    <w:link w:val="VoettekstChar"/>
    <w:uiPriority w:val="99"/>
    <w:unhideWhenUsed/>
    <w:rsid w:val="009D2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D35"/>
  </w:style>
  <w:style w:type="paragraph" w:styleId="Titel">
    <w:name w:val="Title"/>
    <w:basedOn w:val="Standaard"/>
    <w:next w:val="Standaard"/>
    <w:link w:val="TitelChar"/>
    <w:uiPriority w:val="10"/>
    <w:qFormat/>
    <w:rsid w:val="009D2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2D35"/>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926D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7D02-BB80-450D-90BD-D6C8137C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Jannya</dc:creator>
  <cp:lastModifiedBy>Gebruiker</cp:lastModifiedBy>
  <cp:revision>2</cp:revision>
  <dcterms:created xsi:type="dcterms:W3CDTF">2020-03-09T14:16:00Z</dcterms:created>
  <dcterms:modified xsi:type="dcterms:W3CDTF">2020-03-09T14:16:00Z</dcterms:modified>
</cp:coreProperties>
</file>